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A9" w:rsidRPr="00604F36" w:rsidRDefault="008016A9">
      <w:pPr>
        <w:widowControl w:val="0"/>
        <w:pBdr>
          <w:top w:val="nil"/>
          <w:left w:val="nil"/>
          <w:bottom w:val="nil"/>
          <w:right w:val="nil"/>
          <w:between w:val="nil"/>
        </w:pBdr>
        <w:spacing w:after="0"/>
        <w:rPr>
          <w:rFonts w:ascii="Arial" w:eastAsia="Arial" w:hAnsi="Arial" w:cs="Arial"/>
          <w:color w:val="000000" w:themeColor="text1"/>
          <w:sz w:val="22"/>
          <w:szCs w:val="22"/>
        </w:rPr>
      </w:pPr>
    </w:p>
    <w:tbl>
      <w:tblPr>
        <w:tblStyle w:val="a"/>
        <w:tblW w:w="10207" w:type="dxa"/>
        <w:jc w:val="center"/>
        <w:tblLayout w:type="fixed"/>
        <w:tblLook w:val="0000" w:firstRow="0" w:lastRow="0" w:firstColumn="0" w:lastColumn="0" w:noHBand="0" w:noVBand="0"/>
      </w:tblPr>
      <w:tblGrid>
        <w:gridCol w:w="1109"/>
        <w:gridCol w:w="1076"/>
        <w:gridCol w:w="1926"/>
        <w:gridCol w:w="1417"/>
        <w:gridCol w:w="3260"/>
        <w:gridCol w:w="1419"/>
      </w:tblGrid>
      <w:tr w:rsidR="00604F36" w:rsidRPr="00604F36" w:rsidTr="00FF10E5">
        <w:trPr>
          <w:jc w:val="center"/>
        </w:trPr>
        <w:tc>
          <w:tcPr>
            <w:tcW w:w="4111" w:type="dxa"/>
            <w:gridSpan w:val="3"/>
          </w:tcPr>
          <w:p w:rsidR="008016A9" w:rsidRPr="00FF10E5" w:rsidRDefault="00FF10E5">
            <w:pPr>
              <w:spacing w:after="0" w:line="240" w:lineRule="auto"/>
              <w:jc w:val="center"/>
              <w:rPr>
                <w:color w:val="000000" w:themeColor="text1"/>
                <w:sz w:val="24"/>
                <w:szCs w:val="24"/>
              </w:rPr>
            </w:pPr>
            <w:r w:rsidRPr="00FF10E5">
              <w:rPr>
                <w:color w:val="000000" w:themeColor="text1"/>
                <w:sz w:val="24"/>
                <w:szCs w:val="24"/>
              </w:rPr>
              <w:t>UBND HUYỆN TAM NÔNG</w:t>
            </w:r>
          </w:p>
        </w:tc>
        <w:tc>
          <w:tcPr>
            <w:tcW w:w="6096" w:type="dxa"/>
            <w:gridSpan w:val="3"/>
          </w:tcPr>
          <w:p w:rsidR="008016A9" w:rsidRPr="00FF10E5" w:rsidRDefault="00FF10E5">
            <w:pPr>
              <w:pStyle w:val="Heading1"/>
              <w:jc w:val="left"/>
              <w:rPr>
                <w:color w:val="000000" w:themeColor="text1"/>
              </w:rPr>
            </w:pPr>
            <w:r>
              <w:rPr>
                <w:color w:val="000000" w:themeColor="text1"/>
              </w:rPr>
              <w:t xml:space="preserve">    </w:t>
            </w:r>
            <w:r w:rsidR="004253D4" w:rsidRPr="00FF10E5">
              <w:rPr>
                <w:color w:val="000000" w:themeColor="text1"/>
              </w:rPr>
              <w:t>CỘNG HÒA XÃ HỘI CHỦ NGHĨA VIỆT NAM</w:t>
            </w:r>
          </w:p>
        </w:tc>
      </w:tr>
      <w:tr w:rsidR="00604F36" w:rsidRPr="00604F36" w:rsidTr="00FF10E5">
        <w:trPr>
          <w:jc w:val="center"/>
        </w:trPr>
        <w:tc>
          <w:tcPr>
            <w:tcW w:w="4111" w:type="dxa"/>
            <w:gridSpan w:val="3"/>
          </w:tcPr>
          <w:p w:rsidR="008016A9" w:rsidRPr="00FF10E5" w:rsidRDefault="00FF10E5">
            <w:pPr>
              <w:spacing w:after="0" w:line="240" w:lineRule="auto"/>
              <w:jc w:val="center"/>
              <w:rPr>
                <w:b/>
                <w:color w:val="000000" w:themeColor="text1"/>
              </w:rPr>
            </w:pPr>
            <w:r w:rsidRPr="00FF10E5">
              <w:rPr>
                <w:b/>
                <w:color w:val="000000" w:themeColor="text1"/>
              </w:rPr>
              <w:t>TRƯỜNG MẦM NON HOA SEN</w:t>
            </w:r>
          </w:p>
        </w:tc>
        <w:tc>
          <w:tcPr>
            <w:tcW w:w="6096" w:type="dxa"/>
            <w:gridSpan w:val="3"/>
          </w:tcPr>
          <w:p w:rsidR="008016A9" w:rsidRPr="00604F36" w:rsidRDefault="00FF10E5">
            <w:pPr>
              <w:pStyle w:val="Heading1"/>
              <w:rPr>
                <w:color w:val="000000" w:themeColor="text1"/>
                <w:sz w:val="28"/>
                <w:szCs w:val="28"/>
              </w:rPr>
            </w:pPr>
            <w:r>
              <w:rPr>
                <w:color w:val="000000" w:themeColor="text1"/>
                <w:sz w:val="28"/>
                <w:szCs w:val="28"/>
              </w:rPr>
              <w:t xml:space="preserve"> </w:t>
            </w:r>
            <w:r w:rsidR="004253D4" w:rsidRPr="00604F36">
              <w:rPr>
                <w:color w:val="000000" w:themeColor="text1"/>
                <w:sz w:val="28"/>
                <w:szCs w:val="28"/>
              </w:rPr>
              <w:t>Độc lập - Tự do - Hạnh phúc</w:t>
            </w:r>
          </w:p>
        </w:tc>
      </w:tr>
      <w:tr w:rsidR="00604F36" w:rsidRPr="00604F36" w:rsidTr="00FF10E5">
        <w:trPr>
          <w:trHeight w:val="139"/>
          <w:jc w:val="center"/>
        </w:trPr>
        <w:tc>
          <w:tcPr>
            <w:tcW w:w="1109" w:type="dxa"/>
          </w:tcPr>
          <w:p w:rsidR="008016A9" w:rsidRPr="00604F36" w:rsidRDefault="008016A9">
            <w:pPr>
              <w:spacing w:after="0" w:line="240" w:lineRule="auto"/>
              <w:jc w:val="center"/>
              <w:rPr>
                <w:color w:val="000000" w:themeColor="text1"/>
                <w:sz w:val="2"/>
                <w:szCs w:val="2"/>
              </w:rPr>
            </w:pPr>
          </w:p>
        </w:tc>
        <w:tc>
          <w:tcPr>
            <w:tcW w:w="1076" w:type="dxa"/>
          </w:tcPr>
          <w:p w:rsidR="008016A9" w:rsidRPr="00604F36" w:rsidRDefault="004253D4">
            <w:pPr>
              <w:spacing w:after="0" w:line="240" w:lineRule="auto"/>
              <w:jc w:val="center"/>
              <w:rPr>
                <w:color w:val="000000" w:themeColor="text1"/>
                <w:sz w:val="2"/>
                <w:szCs w:val="2"/>
              </w:rPr>
            </w:pPr>
            <w:r w:rsidRPr="00604F36">
              <w:rPr>
                <w:noProof/>
                <w:color w:val="000000" w:themeColor="text1"/>
              </w:rPr>
              <mc:AlternateContent>
                <mc:Choice Requires="wps">
                  <w:drawing>
                    <wp:anchor distT="0" distB="0" distL="114300" distR="114300" simplePos="0" relativeHeight="251658240" behindDoc="0" locked="0" layoutInCell="1" hidden="0" allowOverlap="1" wp14:anchorId="13514990" wp14:editId="307FD3E8">
                      <wp:simplePos x="0" y="0"/>
                      <wp:positionH relativeFrom="column">
                        <wp:posOffset>-39105</wp:posOffset>
                      </wp:positionH>
                      <wp:positionV relativeFrom="paragraph">
                        <wp:posOffset>43815</wp:posOffset>
                      </wp:positionV>
                      <wp:extent cx="55209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55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-39105</wp:posOffset>
                      </wp:positionH>
                      <wp:positionV relativeFrom="paragraph">
                        <wp:posOffset>43815</wp:posOffset>
                      </wp:positionV>
                      <wp:extent cx="571775" cy="1905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1775" cy="19050"/>
                              </a:xfrm>
                              <a:prstGeom prst="rect"/>
                              <a:ln/>
                            </pic:spPr>
                          </pic:pic>
                        </a:graphicData>
                      </a:graphic>
                    </wp:anchor>
                  </w:drawing>
                </mc:Fallback>
              </mc:AlternateContent>
            </w:r>
          </w:p>
        </w:tc>
        <w:tc>
          <w:tcPr>
            <w:tcW w:w="1926" w:type="dxa"/>
          </w:tcPr>
          <w:p w:rsidR="008016A9" w:rsidRPr="00604F36" w:rsidRDefault="008016A9">
            <w:pPr>
              <w:spacing w:after="0" w:line="240" w:lineRule="auto"/>
              <w:jc w:val="center"/>
              <w:rPr>
                <w:color w:val="000000" w:themeColor="text1"/>
                <w:sz w:val="2"/>
                <w:szCs w:val="2"/>
              </w:rPr>
            </w:pPr>
          </w:p>
        </w:tc>
        <w:tc>
          <w:tcPr>
            <w:tcW w:w="1417" w:type="dxa"/>
          </w:tcPr>
          <w:p w:rsidR="008016A9" w:rsidRPr="00604F36" w:rsidRDefault="004253D4">
            <w:pPr>
              <w:spacing w:after="0" w:line="240" w:lineRule="auto"/>
              <w:jc w:val="center"/>
              <w:rPr>
                <w:color w:val="000000" w:themeColor="text1"/>
                <w:sz w:val="2"/>
                <w:szCs w:val="2"/>
              </w:rPr>
            </w:pPr>
            <w:r w:rsidRPr="00604F36">
              <w:rPr>
                <w:noProof/>
                <w:color w:val="000000" w:themeColor="text1"/>
              </w:rPr>
              <mc:AlternateContent>
                <mc:Choice Requires="wps">
                  <w:drawing>
                    <wp:anchor distT="0" distB="0" distL="114300" distR="114300" simplePos="0" relativeHeight="251659264" behindDoc="0" locked="0" layoutInCell="1" hidden="0" allowOverlap="1" wp14:anchorId="32F146C5" wp14:editId="6D34C516">
                      <wp:simplePos x="0" y="0"/>
                      <wp:positionH relativeFrom="column">
                        <wp:posOffset>756548</wp:posOffset>
                      </wp:positionH>
                      <wp:positionV relativeFrom="paragraph">
                        <wp:posOffset>44450</wp:posOffset>
                      </wp:positionV>
                      <wp:extent cx="2165230"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2165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756548</wp:posOffset>
                      </wp:positionH>
                      <wp:positionV relativeFrom="paragraph">
                        <wp:posOffset>44450</wp:posOffset>
                      </wp:positionV>
                      <wp:extent cx="2191265" cy="1905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91265" cy="19050"/>
                              </a:xfrm>
                              <a:prstGeom prst="rect"/>
                              <a:ln/>
                            </pic:spPr>
                          </pic:pic>
                        </a:graphicData>
                      </a:graphic>
                    </wp:anchor>
                  </w:drawing>
                </mc:Fallback>
              </mc:AlternateContent>
            </w:r>
          </w:p>
        </w:tc>
        <w:tc>
          <w:tcPr>
            <w:tcW w:w="3260" w:type="dxa"/>
          </w:tcPr>
          <w:p w:rsidR="008016A9" w:rsidRPr="00604F36" w:rsidRDefault="008016A9">
            <w:pPr>
              <w:spacing w:after="0" w:line="240" w:lineRule="auto"/>
              <w:jc w:val="center"/>
              <w:rPr>
                <w:color w:val="000000" w:themeColor="text1"/>
                <w:sz w:val="2"/>
                <w:szCs w:val="2"/>
              </w:rPr>
            </w:pPr>
          </w:p>
        </w:tc>
        <w:tc>
          <w:tcPr>
            <w:tcW w:w="1419" w:type="dxa"/>
          </w:tcPr>
          <w:p w:rsidR="008016A9" w:rsidRPr="00604F36" w:rsidRDefault="008016A9">
            <w:pPr>
              <w:spacing w:after="0" w:line="240" w:lineRule="auto"/>
              <w:jc w:val="center"/>
              <w:rPr>
                <w:color w:val="000000" w:themeColor="text1"/>
                <w:sz w:val="2"/>
                <w:szCs w:val="2"/>
              </w:rPr>
            </w:pPr>
          </w:p>
        </w:tc>
      </w:tr>
      <w:tr w:rsidR="00604F36" w:rsidRPr="00604F36" w:rsidTr="00FF10E5">
        <w:trPr>
          <w:jc w:val="center"/>
        </w:trPr>
        <w:tc>
          <w:tcPr>
            <w:tcW w:w="4111" w:type="dxa"/>
            <w:gridSpan w:val="3"/>
          </w:tcPr>
          <w:p w:rsidR="008016A9" w:rsidRPr="00604F36" w:rsidRDefault="004253D4" w:rsidP="00A45679">
            <w:pPr>
              <w:spacing w:before="120" w:after="0" w:line="240" w:lineRule="auto"/>
              <w:jc w:val="center"/>
              <w:rPr>
                <w:color w:val="000000" w:themeColor="text1"/>
                <w:sz w:val="28"/>
                <w:szCs w:val="28"/>
              </w:rPr>
            </w:pPr>
            <w:r w:rsidRPr="00604F36">
              <w:rPr>
                <w:color w:val="000000" w:themeColor="text1"/>
                <w:sz w:val="28"/>
                <w:szCs w:val="28"/>
              </w:rPr>
              <w:t xml:space="preserve">Số:  </w:t>
            </w:r>
            <w:r w:rsidR="00A45679">
              <w:rPr>
                <w:color w:val="000000" w:themeColor="text1"/>
                <w:sz w:val="28"/>
                <w:szCs w:val="28"/>
              </w:rPr>
              <w:t>364</w:t>
            </w:r>
            <w:r w:rsidRPr="00604F36">
              <w:rPr>
                <w:color w:val="000000" w:themeColor="text1"/>
                <w:sz w:val="28"/>
                <w:szCs w:val="28"/>
              </w:rPr>
              <w:t>/KH-</w:t>
            </w:r>
            <w:r w:rsidR="00FF10E5">
              <w:rPr>
                <w:color w:val="000000" w:themeColor="text1"/>
                <w:sz w:val="28"/>
                <w:szCs w:val="28"/>
              </w:rPr>
              <w:t>MNHS</w:t>
            </w:r>
            <w:r w:rsidR="005B69F7" w:rsidRPr="00604F36">
              <w:rPr>
                <w:color w:val="000000" w:themeColor="text1"/>
                <w:sz w:val="28"/>
                <w:szCs w:val="28"/>
              </w:rPr>
              <w:t>.</w:t>
            </w:r>
          </w:p>
        </w:tc>
        <w:tc>
          <w:tcPr>
            <w:tcW w:w="6096" w:type="dxa"/>
            <w:gridSpan w:val="3"/>
          </w:tcPr>
          <w:p w:rsidR="008016A9" w:rsidRPr="00604F36" w:rsidRDefault="004253D4" w:rsidP="00A45679">
            <w:pPr>
              <w:pStyle w:val="Heading1"/>
              <w:spacing w:before="120"/>
              <w:jc w:val="left"/>
              <w:rPr>
                <w:b w:val="0"/>
                <w:i/>
                <w:color w:val="000000" w:themeColor="text1"/>
                <w:sz w:val="28"/>
                <w:szCs w:val="28"/>
              </w:rPr>
            </w:pPr>
            <w:r w:rsidRPr="00604F36">
              <w:rPr>
                <w:b w:val="0"/>
                <w:i/>
                <w:color w:val="000000" w:themeColor="text1"/>
                <w:sz w:val="28"/>
                <w:szCs w:val="28"/>
              </w:rPr>
              <w:t xml:space="preserve">               </w:t>
            </w:r>
            <w:r w:rsidR="00FF10E5">
              <w:rPr>
                <w:b w:val="0"/>
                <w:i/>
                <w:color w:val="000000" w:themeColor="text1"/>
                <w:sz w:val="28"/>
                <w:szCs w:val="28"/>
              </w:rPr>
              <w:t>Tam Nông</w:t>
            </w:r>
            <w:r w:rsidRPr="00604F36">
              <w:rPr>
                <w:b w:val="0"/>
                <w:i/>
                <w:color w:val="000000" w:themeColor="text1"/>
                <w:sz w:val="28"/>
                <w:szCs w:val="28"/>
              </w:rPr>
              <w:t xml:space="preserve">, ngày </w:t>
            </w:r>
            <w:r w:rsidR="00A45679">
              <w:rPr>
                <w:b w:val="0"/>
                <w:i/>
                <w:color w:val="000000" w:themeColor="text1"/>
                <w:sz w:val="28"/>
                <w:szCs w:val="28"/>
              </w:rPr>
              <w:t>02</w:t>
            </w:r>
            <w:r w:rsidRPr="00604F36">
              <w:rPr>
                <w:b w:val="0"/>
                <w:i/>
                <w:color w:val="000000" w:themeColor="text1"/>
                <w:sz w:val="28"/>
                <w:szCs w:val="28"/>
              </w:rPr>
              <w:t xml:space="preserve"> tháng  </w:t>
            </w:r>
            <w:r w:rsidR="00FF10E5">
              <w:rPr>
                <w:b w:val="0"/>
                <w:i/>
                <w:color w:val="000000" w:themeColor="text1"/>
                <w:sz w:val="28"/>
                <w:szCs w:val="28"/>
              </w:rPr>
              <w:t>12</w:t>
            </w:r>
            <w:r w:rsidRPr="00604F36">
              <w:rPr>
                <w:b w:val="0"/>
                <w:i/>
                <w:color w:val="000000" w:themeColor="text1"/>
                <w:sz w:val="28"/>
                <w:szCs w:val="28"/>
              </w:rPr>
              <w:t xml:space="preserve"> năm 2024</w:t>
            </w:r>
          </w:p>
        </w:tc>
      </w:tr>
    </w:tbl>
    <w:p w:rsidR="008016A9" w:rsidRPr="00604F36" w:rsidRDefault="008016A9">
      <w:pPr>
        <w:jc w:val="center"/>
        <w:rPr>
          <w:b/>
          <w:color w:val="000000" w:themeColor="text1"/>
          <w:sz w:val="28"/>
          <w:szCs w:val="28"/>
        </w:rPr>
      </w:pPr>
    </w:p>
    <w:p w:rsidR="008016A9" w:rsidRPr="00604F36" w:rsidRDefault="004253D4">
      <w:pPr>
        <w:spacing w:after="0" w:line="240" w:lineRule="auto"/>
        <w:jc w:val="center"/>
        <w:rPr>
          <w:b/>
          <w:color w:val="000000" w:themeColor="text1"/>
          <w:sz w:val="28"/>
          <w:szCs w:val="28"/>
        </w:rPr>
      </w:pPr>
      <w:r w:rsidRPr="00604F36">
        <w:rPr>
          <w:b/>
          <w:color w:val="000000" w:themeColor="text1"/>
          <w:sz w:val="28"/>
          <w:szCs w:val="28"/>
        </w:rPr>
        <w:t>KẾ HOẠCH</w:t>
      </w:r>
    </w:p>
    <w:p w:rsidR="008016A9" w:rsidRPr="00604F36" w:rsidRDefault="004253D4">
      <w:pPr>
        <w:spacing w:after="120" w:line="240" w:lineRule="auto"/>
        <w:jc w:val="center"/>
        <w:rPr>
          <w:b/>
          <w:color w:val="000000" w:themeColor="text1"/>
          <w:sz w:val="28"/>
          <w:szCs w:val="28"/>
        </w:rPr>
      </w:pPr>
      <w:r w:rsidRPr="00604F36">
        <w:rPr>
          <w:b/>
          <w:color w:val="000000" w:themeColor="text1"/>
          <w:sz w:val="28"/>
          <w:szCs w:val="28"/>
        </w:rPr>
        <w:t xml:space="preserve">Xây dựng </w:t>
      </w:r>
      <w:r w:rsidR="00A45679">
        <w:rPr>
          <w:b/>
          <w:color w:val="000000" w:themeColor="text1"/>
          <w:sz w:val="28"/>
          <w:szCs w:val="28"/>
        </w:rPr>
        <w:t>“</w:t>
      </w:r>
      <w:r w:rsidRPr="00604F36">
        <w:rPr>
          <w:b/>
          <w:color w:val="000000" w:themeColor="text1"/>
          <w:sz w:val="28"/>
          <w:szCs w:val="28"/>
        </w:rPr>
        <w:t>Đơn vị học tập</w:t>
      </w:r>
      <w:r w:rsidR="00A45679">
        <w:rPr>
          <w:b/>
          <w:color w:val="000000" w:themeColor="text1"/>
          <w:sz w:val="28"/>
          <w:szCs w:val="28"/>
        </w:rPr>
        <w:t>”</w:t>
      </w:r>
      <w:r w:rsidRPr="00604F36">
        <w:rPr>
          <w:b/>
          <w:color w:val="000000" w:themeColor="text1"/>
          <w:sz w:val="28"/>
          <w:szCs w:val="28"/>
        </w:rPr>
        <w:t xml:space="preserve"> năm 2024</w:t>
      </w:r>
    </w:p>
    <w:p w:rsidR="008016A9" w:rsidRPr="00604F36" w:rsidRDefault="004253D4">
      <w:pPr>
        <w:spacing w:after="120" w:line="240" w:lineRule="auto"/>
        <w:jc w:val="center"/>
        <w:rPr>
          <w:b/>
          <w:color w:val="000000" w:themeColor="text1"/>
          <w:sz w:val="28"/>
          <w:szCs w:val="28"/>
        </w:rPr>
      </w:pPr>
      <w:r w:rsidRPr="00604F36">
        <w:rPr>
          <w:noProof/>
          <w:color w:val="000000" w:themeColor="text1"/>
        </w:rPr>
        <mc:AlternateContent>
          <mc:Choice Requires="wps">
            <w:drawing>
              <wp:anchor distT="0" distB="0" distL="114300" distR="114300" simplePos="0" relativeHeight="251660288" behindDoc="0" locked="0" layoutInCell="1" hidden="0" allowOverlap="1" wp14:anchorId="1C79CED0" wp14:editId="07FFB1BF">
                <wp:simplePos x="0" y="0"/>
                <wp:positionH relativeFrom="column">
                  <wp:posOffset>2396490</wp:posOffset>
                </wp:positionH>
                <wp:positionV relativeFrom="paragraph">
                  <wp:posOffset>55244</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2396490</wp:posOffset>
                </wp:positionH>
                <wp:positionV relativeFrom="paragraph">
                  <wp:posOffset>55244</wp:posOffset>
                </wp:positionV>
                <wp:extent cx="914400" cy="1905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14400" cy="19050"/>
                        </a:xfrm>
                        <a:prstGeom prst="rect"/>
                        <a:ln/>
                      </pic:spPr>
                    </pic:pic>
                  </a:graphicData>
                </a:graphic>
              </wp:anchor>
            </w:drawing>
          </mc:Fallback>
        </mc:AlternateConten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Căn cứ Thông tư số 24/2023/TT-BGDĐT ngày 11 tháng 12 năm 2023 của</w:t>
      </w:r>
      <w:r w:rsidRPr="00604F36">
        <w:rPr>
          <w:color w:val="000000" w:themeColor="text1"/>
          <w:sz w:val="28"/>
          <w:szCs w:val="28"/>
        </w:rPr>
        <w:br/>
        <w:t xml:space="preserve">Bộ trưởng Bộ Giáo dục và Đào tạo quy định về đánh giá, công nhận </w:t>
      </w:r>
      <w:r w:rsidRPr="00604F36">
        <w:rPr>
          <w:i/>
          <w:color w:val="000000" w:themeColor="text1"/>
          <w:sz w:val="28"/>
          <w:szCs w:val="28"/>
        </w:rPr>
        <w:t>“Đơn vị</w:t>
      </w:r>
      <w:r w:rsidRPr="00604F36">
        <w:rPr>
          <w:i/>
          <w:color w:val="000000" w:themeColor="text1"/>
          <w:sz w:val="28"/>
          <w:szCs w:val="28"/>
        </w:rPr>
        <w:br/>
        <w:t xml:space="preserve">học tập” </w:t>
      </w:r>
      <w:r w:rsidRPr="00604F36">
        <w:rPr>
          <w:color w:val="000000" w:themeColor="text1"/>
          <w:sz w:val="28"/>
          <w:szCs w:val="28"/>
        </w:rPr>
        <w:t>cấp huyện, tỉnh;</w:t>
      </w:r>
    </w:p>
    <w:p w:rsidR="008016A9" w:rsidRDefault="004253D4">
      <w:pPr>
        <w:spacing w:after="120" w:line="240" w:lineRule="auto"/>
        <w:ind w:firstLine="720"/>
        <w:jc w:val="both"/>
        <w:rPr>
          <w:color w:val="000000" w:themeColor="text1"/>
          <w:sz w:val="28"/>
          <w:szCs w:val="28"/>
        </w:rPr>
      </w:pPr>
      <w:r w:rsidRPr="00604F36">
        <w:rPr>
          <w:color w:val="000000" w:themeColor="text1"/>
          <w:sz w:val="28"/>
          <w:szCs w:val="28"/>
        </w:rPr>
        <w:t>Căn cứ Kế hoạch số 130/KH-UBND ngày 14 tháng 4 năm 2024 của</w:t>
      </w:r>
      <w:r w:rsidRPr="00604F36">
        <w:rPr>
          <w:color w:val="000000" w:themeColor="text1"/>
          <w:sz w:val="28"/>
          <w:szCs w:val="28"/>
        </w:rPr>
        <w:br/>
        <w:t>Uỷ ban nhân dân tỉnh Đồng Tháp về triển khai thực hiện quy định về đánh</w:t>
      </w:r>
      <w:r w:rsidRPr="00604F36">
        <w:rPr>
          <w:color w:val="000000" w:themeColor="text1"/>
          <w:sz w:val="28"/>
          <w:szCs w:val="28"/>
        </w:rPr>
        <w:br/>
        <w:t xml:space="preserve">giá, công nhận </w:t>
      </w:r>
      <w:r w:rsidRPr="00604F36">
        <w:rPr>
          <w:i/>
          <w:color w:val="000000" w:themeColor="text1"/>
          <w:sz w:val="28"/>
          <w:szCs w:val="28"/>
        </w:rPr>
        <w:t xml:space="preserve">“Đơn vị học tập” </w:t>
      </w:r>
      <w:r w:rsidRPr="00604F36">
        <w:rPr>
          <w:color w:val="000000" w:themeColor="text1"/>
          <w:sz w:val="28"/>
          <w:szCs w:val="28"/>
        </w:rPr>
        <w:t>cấp huyện, tỉnh trên địa bàn tỉnh Đồng Tháp;</w:t>
      </w:r>
    </w:p>
    <w:p w:rsidR="00A45679" w:rsidRPr="00604F36" w:rsidRDefault="00A45679">
      <w:pPr>
        <w:spacing w:after="120" w:line="240" w:lineRule="auto"/>
        <w:ind w:firstLine="720"/>
        <w:jc w:val="both"/>
        <w:rPr>
          <w:color w:val="000000" w:themeColor="text1"/>
          <w:sz w:val="28"/>
          <w:szCs w:val="28"/>
        </w:rPr>
      </w:pPr>
      <w:r>
        <w:rPr>
          <w:color w:val="000000" w:themeColor="text1"/>
          <w:sz w:val="28"/>
          <w:szCs w:val="28"/>
        </w:rPr>
        <w:t xml:space="preserve">Căn cứ Kế hoạch số 1143/KH-PGDĐT ngày 26 tháng 11 năm 2024  của Phòng Giáo dục và Đào tạo về Kế hoạch Hội thảo tập huấn về xây dựng </w:t>
      </w:r>
      <w:r w:rsidRPr="00604F36">
        <w:rPr>
          <w:i/>
          <w:color w:val="000000" w:themeColor="text1"/>
          <w:sz w:val="28"/>
          <w:szCs w:val="28"/>
        </w:rPr>
        <w:t xml:space="preserve">“Đơn vị học tập” </w:t>
      </w:r>
      <w:r w:rsidRPr="00604F36">
        <w:rPr>
          <w:color w:val="000000" w:themeColor="text1"/>
          <w:sz w:val="28"/>
          <w:szCs w:val="28"/>
        </w:rPr>
        <w:t>cấp huyện</w:t>
      </w:r>
      <w:r>
        <w:rPr>
          <w:color w:val="000000" w:themeColor="text1"/>
          <w:sz w:val="28"/>
          <w:szCs w:val="28"/>
        </w:rPr>
        <w:t xml:space="preserve">; </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xml:space="preserve">Căn cứ vào tình hình thực tế của </w:t>
      </w:r>
      <w:r w:rsidR="00FF10E5" w:rsidRPr="00FF10E5">
        <w:rPr>
          <w:sz w:val="28"/>
          <w:szCs w:val="28"/>
        </w:rPr>
        <w:t>Trường mầm non Hoa Sen</w:t>
      </w:r>
      <w:r w:rsidRPr="00FF10E5">
        <w:rPr>
          <w:sz w:val="28"/>
          <w:szCs w:val="28"/>
        </w:rPr>
        <w:t xml:space="preserve"> </w:t>
      </w:r>
      <w:r w:rsidRPr="00604F36">
        <w:rPr>
          <w:color w:val="000000" w:themeColor="text1"/>
          <w:sz w:val="28"/>
          <w:szCs w:val="28"/>
        </w:rPr>
        <w:t xml:space="preserve">để đảm bảo việc triển khai thực hiện quy định về đánh giá, xếp loại “Đơn vị học tập” (ĐVHT) được phát huy hiệu quả, </w:t>
      </w:r>
      <w:r w:rsidR="00FF10E5" w:rsidRPr="00FF10E5">
        <w:rPr>
          <w:sz w:val="28"/>
          <w:szCs w:val="28"/>
        </w:rPr>
        <w:t xml:space="preserve">Trường mầm non Hoa Sen </w:t>
      </w:r>
      <w:r w:rsidRPr="00604F36">
        <w:rPr>
          <w:color w:val="000000" w:themeColor="text1"/>
          <w:sz w:val="28"/>
          <w:szCs w:val="28"/>
        </w:rPr>
        <w:t>ban hành Kế hoạch triển khai, xây dựng, thực hiện ĐVHT với các nội dung như sau:</w:t>
      </w:r>
    </w:p>
    <w:p w:rsidR="008016A9" w:rsidRPr="00604F36" w:rsidRDefault="004253D4">
      <w:pPr>
        <w:spacing w:after="120" w:line="240" w:lineRule="auto"/>
        <w:ind w:firstLine="720"/>
        <w:jc w:val="both"/>
        <w:rPr>
          <w:b/>
          <w:color w:val="000000" w:themeColor="text1"/>
          <w:sz w:val="28"/>
          <w:szCs w:val="28"/>
        </w:rPr>
      </w:pPr>
      <w:r w:rsidRPr="00604F36">
        <w:rPr>
          <w:b/>
          <w:color w:val="000000" w:themeColor="text1"/>
          <w:sz w:val="28"/>
          <w:szCs w:val="28"/>
        </w:rPr>
        <w:t>I. Mục đích yêu cầu</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Tạo cơ hội và điều kiện cho cán bộ,</w:t>
      </w:r>
      <w:r w:rsidR="00FF10E5">
        <w:rPr>
          <w:color w:val="000000" w:themeColor="text1"/>
          <w:sz w:val="28"/>
          <w:szCs w:val="28"/>
        </w:rPr>
        <w:t>quản lý, viên</w:t>
      </w:r>
      <w:r w:rsidRPr="00604F36">
        <w:rPr>
          <w:color w:val="000000" w:themeColor="text1"/>
          <w:sz w:val="28"/>
          <w:szCs w:val="28"/>
        </w:rPr>
        <w:t xml:space="preserve"> chức, người lao động trong </w:t>
      </w:r>
      <w:r w:rsidR="00FF10E5">
        <w:rPr>
          <w:color w:val="000000" w:themeColor="text1"/>
          <w:sz w:val="28"/>
          <w:szCs w:val="28"/>
        </w:rPr>
        <w:t>đơn vị</w:t>
      </w:r>
      <w:r w:rsidRPr="00604F36">
        <w:rPr>
          <w:color w:val="000000" w:themeColor="text1"/>
          <w:sz w:val="28"/>
          <w:szCs w:val="28"/>
        </w:rPr>
        <w:t xml:space="preserve"> được học tập thường xuyên, học tập suốt đời nhằm nâng cao trình độ chuyên môn, nghiệp vụ và trình độ lý luận chính trị.</w:t>
      </w:r>
    </w:p>
    <w:p w:rsidR="008016A9" w:rsidRPr="00FF10E5" w:rsidRDefault="004253D4">
      <w:pPr>
        <w:spacing w:after="120" w:line="240" w:lineRule="auto"/>
        <w:ind w:firstLine="720"/>
        <w:jc w:val="both"/>
        <w:rPr>
          <w:color w:val="000000" w:themeColor="text1"/>
          <w:spacing w:val="-6"/>
          <w:sz w:val="28"/>
          <w:szCs w:val="28"/>
        </w:rPr>
      </w:pPr>
      <w:r w:rsidRPr="00FF10E5">
        <w:rPr>
          <w:color w:val="000000" w:themeColor="text1"/>
          <w:spacing w:val="-6"/>
          <w:sz w:val="28"/>
          <w:szCs w:val="28"/>
        </w:rPr>
        <w:t xml:space="preserve">Xây dựng và nâng cao chất lượng đội ngũ </w:t>
      </w:r>
      <w:r w:rsidR="00FF10E5">
        <w:rPr>
          <w:color w:val="000000" w:themeColor="text1"/>
          <w:sz w:val="28"/>
          <w:szCs w:val="28"/>
        </w:rPr>
        <w:t>cán bộ quản lý, viên</w:t>
      </w:r>
      <w:r w:rsidR="00FF10E5" w:rsidRPr="00604F36">
        <w:rPr>
          <w:color w:val="000000" w:themeColor="text1"/>
          <w:sz w:val="28"/>
          <w:szCs w:val="28"/>
        </w:rPr>
        <w:t xml:space="preserve"> chức</w:t>
      </w:r>
      <w:r w:rsidRPr="00FF10E5">
        <w:rPr>
          <w:color w:val="000000" w:themeColor="text1"/>
          <w:spacing w:val="-6"/>
          <w:sz w:val="28"/>
          <w:szCs w:val="28"/>
        </w:rPr>
        <w:t>, người lao động làm công tác giáo dục và đào tạo có đủ trình độ chuyên môn, năng lực, phẩm chất đạo đức, chính trị, có kỹ năng và phương pháp làm việc hiệu quả, sáng tạo và khoa học nhằm đáp ứng yêu cầu nhiệm vụ mới được phân công, góp phần xây dựng cơ quan trở thành “đơn vị học tập” tiêu biểu trong lĩnh vực giáo dục và đào tạo.</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xml:space="preserve">Xác định rõ các tiêu chí, chỉ tiêu để xem xét đánh giá kết quả đảm bảo công khai, minh bạch, khách quan và trung thực. Việc đào tạo, bồi dưỡng phải căn cứ vào vị trí việc làm của </w:t>
      </w:r>
      <w:r w:rsidR="00FF10E5">
        <w:rPr>
          <w:color w:val="000000" w:themeColor="text1"/>
          <w:sz w:val="28"/>
          <w:szCs w:val="28"/>
        </w:rPr>
        <w:t>cán bộ quản lý, viên</w:t>
      </w:r>
      <w:r w:rsidR="00FF10E5" w:rsidRPr="00604F36">
        <w:rPr>
          <w:color w:val="000000" w:themeColor="text1"/>
          <w:sz w:val="28"/>
          <w:szCs w:val="28"/>
        </w:rPr>
        <w:t xml:space="preserve"> chức</w:t>
      </w:r>
      <w:r w:rsidRPr="00604F36">
        <w:rPr>
          <w:color w:val="000000" w:themeColor="text1"/>
          <w:sz w:val="28"/>
          <w:szCs w:val="28"/>
        </w:rPr>
        <w:t xml:space="preserve"> và người lao động.</w:t>
      </w:r>
    </w:p>
    <w:p w:rsidR="008016A9" w:rsidRPr="00604F36" w:rsidRDefault="004253D4">
      <w:pPr>
        <w:spacing w:after="120" w:line="240" w:lineRule="auto"/>
        <w:ind w:firstLine="720"/>
        <w:jc w:val="both"/>
        <w:rPr>
          <w:b/>
          <w:color w:val="000000" w:themeColor="text1"/>
          <w:sz w:val="28"/>
          <w:szCs w:val="28"/>
        </w:rPr>
      </w:pPr>
      <w:r w:rsidRPr="00604F36">
        <w:rPr>
          <w:b/>
          <w:color w:val="000000" w:themeColor="text1"/>
          <w:sz w:val="28"/>
          <w:szCs w:val="28"/>
        </w:rPr>
        <w:t>II. Nội dung, tiêu chí, chỉ tiêu xây dựng đơn vị học tập</w:t>
      </w:r>
    </w:p>
    <w:p w:rsidR="008016A9" w:rsidRPr="00835EFA" w:rsidRDefault="004253D4">
      <w:pPr>
        <w:spacing w:after="120" w:line="240" w:lineRule="auto"/>
        <w:ind w:firstLine="720"/>
        <w:jc w:val="both"/>
        <w:rPr>
          <w:b/>
          <w:color w:val="000000" w:themeColor="text1"/>
          <w:sz w:val="28"/>
          <w:szCs w:val="28"/>
        </w:rPr>
      </w:pPr>
      <w:r w:rsidRPr="00835EFA">
        <w:rPr>
          <w:b/>
          <w:color w:val="000000" w:themeColor="text1"/>
          <w:sz w:val="28"/>
          <w:szCs w:val="28"/>
        </w:rPr>
        <w:t>1. Đối với cơ quan, đơn vị</w:t>
      </w:r>
    </w:p>
    <w:p w:rsidR="008016A9" w:rsidRPr="00FF10E5" w:rsidRDefault="004253D4">
      <w:pPr>
        <w:spacing w:after="120" w:line="240" w:lineRule="auto"/>
        <w:ind w:firstLine="720"/>
        <w:jc w:val="both"/>
        <w:rPr>
          <w:color w:val="000000" w:themeColor="text1"/>
          <w:spacing w:val="-10"/>
          <w:sz w:val="28"/>
          <w:szCs w:val="28"/>
        </w:rPr>
      </w:pPr>
      <w:r w:rsidRPr="00FF10E5">
        <w:rPr>
          <w:color w:val="000000" w:themeColor="text1"/>
          <w:spacing w:val="-10"/>
          <w:sz w:val="28"/>
          <w:szCs w:val="28"/>
        </w:rPr>
        <w:t xml:space="preserve">Tuyên truyền, triển khai và vận động </w:t>
      </w:r>
      <w:r w:rsidR="00FF10E5" w:rsidRPr="00FF10E5">
        <w:rPr>
          <w:color w:val="000000" w:themeColor="text1"/>
          <w:spacing w:val="-10"/>
          <w:sz w:val="28"/>
          <w:szCs w:val="28"/>
        </w:rPr>
        <w:t>cán bộ quản lý, viên chức, người lao động</w:t>
      </w:r>
      <w:r w:rsidRPr="00FF10E5">
        <w:rPr>
          <w:color w:val="000000" w:themeColor="text1"/>
          <w:spacing w:val="-10"/>
          <w:sz w:val="28"/>
          <w:szCs w:val="28"/>
        </w:rPr>
        <w:t xml:space="preserve"> trong </w:t>
      </w:r>
      <w:r w:rsidR="00FF10E5" w:rsidRPr="00FF10E5">
        <w:rPr>
          <w:color w:val="000000" w:themeColor="text1"/>
          <w:spacing w:val="-10"/>
          <w:sz w:val="28"/>
          <w:szCs w:val="28"/>
        </w:rPr>
        <w:t>đơn vị</w:t>
      </w:r>
      <w:r w:rsidRPr="00FF10E5">
        <w:rPr>
          <w:color w:val="000000" w:themeColor="text1"/>
          <w:spacing w:val="-10"/>
          <w:sz w:val="28"/>
          <w:szCs w:val="28"/>
        </w:rPr>
        <w:t xml:space="preserve"> thực hiện tốt Thông tư số 24/2023/TT-BGDĐ</w:t>
      </w:r>
      <w:r w:rsidR="00FF10E5">
        <w:rPr>
          <w:color w:val="000000" w:themeColor="text1"/>
          <w:spacing w:val="-10"/>
          <w:sz w:val="28"/>
          <w:szCs w:val="28"/>
        </w:rPr>
        <w:t xml:space="preserve">T ngày 11 tháng 12 năm 2023 của </w:t>
      </w:r>
      <w:r w:rsidRPr="00FF10E5">
        <w:rPr>
          <w:color w:val="000000" w:themeColor="text1"/>
          <w:spacing w:val="-10"/>
          <w:sz w:val="28"/>
          <w:szCs w:val="28"/>
        </w:rPr>
        <w:t xml:space="preserve">Bộ trưởng Bộ Giáo dục và Đào tạo quy định về đánh giá, công nhận </w:t>
      </w:r>
      <w:r w:rsidRPr="00FF10E5">
        <w:rPr>
          <w:i/>
          <w:color w:val="000000" w:themeColor="text1"/>
          <w:spacing w:val="-10"/>
          <w:sz w:val="28"/>
          <w:szCs w:val="28"/>
        </w:rPr>
        <w:t>“Đơn vị</w:t>
      </w:r>
      <w:r w:rsidRPr="00FF10E5">
        <w:rPr>
          <w:i/>
          <w:color w:val="000000" w:themeColor="text1"/>
          <w:spacing w:val="-10"/>
          <w:sz w:val="28"/>
          <w:szCs w:val="28"/>
        </w:rPr>
        <w:br/>
        <w:t xml:space="preserve">học tập” </w:t>
      </w:r>
      <w:r w:rsidRPr="00FF10E5">
        <w:rPr>
          <w:color w:val="000000" w:themeColor="text1"/>
          <w:spacing w:val="-10"/>
          <w:sz w:val="28"/>
          <w:szCs w:val="28"/>
        </w:rPr>
        <w:t xml:space="preserve">cấp huyện, tỉnh; Kế hoạch số 130/KH-UBND ngày 14 tháng 4 năm 2024 của </w:t>
      </w:r>
      <w:r w:rsidRPr="00FF10E5">
        <w:rPr>
          <w:color w:val="000000" w:themeColor="text1"/>
          <w:spacing w:val="-10"/>
          <w:sz w:val="28"/>
          <w:szCs w:val="28"/>
        </w:rPr>
        <w:lastRenderedPageBreak/>
        <w:t>Uỷ ban nhân dân tỉnh Đồng Tháp về triển khai thực hiện quy định về đánh</w:t>
      </w:r>
      <w:r w:rsidRPr="00FF10E5">
        <w:rPr>
          <w:color w:val="000000" w:themeColor="text1"/>
          <w:spacing w:val="-10"/>
          <w:sz w:val="28"/>
          <w:szCs w:val="28"/>
        </w:rPr>
        <w:br/>
        <w:t xml:space="preserve">giá, công nhận </w:t>
      </w:r>
      <w:r w:rsidRPr="00FF10E5">
        <w:rPr>
          <w:i/>
          <w:color w:val="000000" w:themeColor="text1"/>
          <w:spacing w:val="-10"/>
          <w:sz w:val="28"/>
          <w:szCs w:val="28"/>
        </w:rPr>
        <w:t xml:space="preserve">“Đơn vị học tập” </w:t>
      </w:r>
      <w:r w:rsidRPr="00FF10E5">
        <w:rPr>
          <w:color w:val="000000" w:themeColor="text1"/>
          <w:spacing w:val="-10"/>
          <w:sz w:val="28"/>
          <w:szCs w:val="28"/>
        </w:rPr>
        <w:t>cấp huyện, tỉnh trên địa bàn tỉnh Đồng Tháp; các tiêu chí, tiêu chí đánh giá công nhận đơn vị học tập (Mẫu số 4, Công văn số 681/SGDĐT-GDTrH&amp;TX ngày 07/5/2024).</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Lãnh đạo cơ quan, đơn vị phối hợp với Đảng bộ thực hiện kế hoạch đào tạo, bồi dưỡng cán bộ, công chức theo quy định của Ban tổ chức Tỉnh uỷ và Sở Nội vụ; đồng thời thực hiện các chính sách cho người đi học theo quy định hiện hành. Phấn đấu hàng năm đạt:</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Tối thiểu 90% Thành viên trong đơn vị tuân thủ kỷ luật lao động, nội quy làm việc trong đơn vị, có tinh thần đoàn kết, hợp tác, chia sẻ và trao đổi trong lao động, học tập;</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Tối thiểu 90% Thành viên trong đơn vị hoàn thành đầy đủ các chương trình học tập, bồi dưỡng theo quy định của nhà nước hoặc của đơn vị và đoàn thể được lãnh đạo đơn vị phê duyệt;</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Tối thiểu 90% Thành viên trong đơn vị được đào tạo, bồi dưỡng và tham gia thực hiện chuyển đổi số trong đơn vị;</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Tối thiểu 50% Thành viên trong đơn vị có chứng nhận hoặc chứng chỉ ngoại ngữ;</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Tối thiểu 90% Thành viên trong đơn vị đạt danh hiệu “Lao động tiên tiến” (theo Luật Thi đua, Khen thưởng số 06/2022/QH15) trở lên;</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Tối thiểu 90% Thành viên trong đơn vị đạt danh hiệu “Công dân học tập” theo Quyết định số 324/QĐ-KHVN</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Việc bồi dưỡng, tự học tập thường xuyên, học tập suốt đời của các bộ, công chức và người lao động của cơ quan phải biết vận dụng vào công việc chuyên môn một cách thường xuyên hiệu quả và sẽ được đánh giá ghi nhận vào kết quả công tác thi đua khen thưởng và xếp loại cán bộ, công chức, người lao động theo quy định hàng năm.</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xml:space="preserve">Công đoàn </w:t>
      </w:r>
      <w:r w:rsidR="00FF10E5">
        <w:rPr>
          <w:color w:val="000000" w:themeColor="text1"/>
          <w:sz w:val="28"/>
          <w:szCs w:val="28"/>
        </w:rPr>
        <w:t>đơn vị</w:t>
      </w:r>
      <w:r w:rsidRPr="00604F36">
        <w:rPr>
          <w:color w:val="000000" w:themeColor="text1"/>
          <w:sz w:val="28"/>
          <w:szCs w:val="28"/>
        </w:rPr>
        <w:t xml:space="preserve"> và </w:t>
      </w:r>
      <w:r w:rsidR="00FF10E5">
        <w:rPr>
          <w:color w:val="000000" w:themeColor="text1"/>
          <w:sz w:val="28"/>
          <w:szCs w:val="28"/>
        </w:rPr>
        <w:t>tổ khuyến học hỗ trợ cho cán bộ quản lý, viên</w:t>
      </w:r>
      <w:r w:rsidRPr="00604F36">
        <w:rPr>
          <w:color w:val="000000" w:themeColor="text1"/>
          <w:sz w:val="28"/>
          <w:szCs w:val="28"/>
        </w:rPr>
        <w:t xml:space="preserve"> chức và người lao động vượt khó học tập, nâng cao tay nghề, trình độ chuyên môn, nghiệp vụ và trình độ lý luận chính trị.</w:t>
      </w:r>
    </w:p>
    <w:p w:rsidR="008016A9" w:rsidRPr="00835EFA" w:rsidRDefault="004253D4">
      <w:pPr>
        <w:spacing w:after="120" w:line="240" w:lineRule="auto"/>
        <w:ind w:firstLine="720"/>
        <w:jc w:val="both"/>
        <w:rPr>
          <w:b/>
          <w:color w:val="000000" w:themeColor="text1"/>
          <w:sz w:val="28"/>
          <w:szCs w:val="28"/>
        </w:rPr>
      </w:pPr>
      <w:r w:rsidRPr="00835EFA">
        <w:rPr>
          <w:b/>
          <w:color w:val="000000" w:themeColor="text1"/>
          <w:sz w:val="28"/>
          <w:szCs w:val="28"/>
        </w:rPr>
        <w:t>2. Đối với cán bộ</w:t>
      </w:r>
      <w:r w:rsidR="00FF10E5" w:rsidRPr="00835EFA">
        <w:rPr>
          <w:b/>
          <w:color w:val="000000" w:themeColor="text1"/>
          <w:sz w:val="28"/>
          <w:szCs w:val="28"/>
        </w:rPr>
        <w:t xml:space="preserve"> quản lý, viên chức</w:t>
      </w:r>
      <w:r w:rsidRPr="00835EFA">
        <w:rPr>
          <w:b/>
          <w:color w:val="000000" w:themeColor="text1"/>
          <w:sz w:val="28"/>
          <w:szCs w:val="28"/>
        </w:rPr>
        <w:t>, người lao động</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Tham gia học tập theo kế hoạch đào tạo, tự bồi dưỡng hàng năm được lãnh đạo đơn vị phê duyệt và tự học tập thường xuyên, học tập suốt đời.</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Tuân thủ kỷ luật lao động, nội quy làm việc trong cơ quan, có tinh thần hợp tác, đoàn kết và học hỏi.</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Hoàn thành đầy đủ chương trình học tập, bồi dưỡng bắt buộc theo quy định của nhà nước.</w:t>
      </w:r>
    </w:p>
    <w:p w:rsidR="008016A9" w:rsidRPr="00604F36" w:rsidRDefault="004253D4">
      <w:pPr>
        <w:ind w:firstLine="720"/>
        <w:jc w:val="both"/>
        <w:rPr>
          <w:color w:val="000000" w:themeColor="text1"/>
          <w:sz w:val="28"/>
          <w:szCs w:val="28"/>
        </w:rPr>
      </w:pPr>
      <w:r w:rsidRPr="00604F36">
        <w:rPr>
          <w:color w:val="000000" w:themeColor="text1"/>
          <w:sz w:val="28"/>
          <w:szCs w:val="28"/>
        </w:rPr>
        <w:t>Thực hiện đánh giá “Công dân học tập” theo Nhóm tại địa chỉ https://congdanhoctap.vn/</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lastRenderedPageBreak/>
        <w:t>Phấn đấu cuối năm đạt danh hiệu từ “Lao động tiên tiến” trở lên.</w:t>
      </w:r>
    </w:p>
    <w:p w:rsidR="00835EFA" w:rsidRDefault="004253D4">
      <w:pPr>
        <w:spacing w:after="120" w:line="240" w:lineRule="auto"/>
        <w:ind w:firstLine="720"/>
        <w:jc w:val="both"/>
        <w:rPr>
          <w:color w:val="000000" w:themeColor="text1"/>
          <w:sz w:val="28"/>
          <w:szCs w:val="28"/>
        </w:rPr>
      </w:pPr>
      <w:r w:rsidRPr="00835EFA">
        <w:rPr>
          <w:b/>
          <w:color w:val="000000" w:themeColor="text1"/>
          <w:sz w:val="28"/>
          <w:szCs w:val="28"/>
        </w:rPr>
        <w:t>3. Thời gian</w:t>
      </w:r>
      <w:r w:rsidRPr="00604F36">
        <w:rPr>
          <w:color w:val="000000" w:themeColor="text1"/>
          <w:sz w:val="28"/>
          <w:szCs w:val="28"/>
        </w:rPr>
        <w:t xml:space="preserve">: </w:t>
      </w:r>
    </w:p>
    <w:p w:rsidR="008016A9" w:rsidRPr="00604F36" w:rsidRDefault="004253D4">
      <w:pPr>
        <w:spacing w:after="120" w:line="240" w:lineRule="auto"/>
        <w:ind w:firstLine="720"/>
        <w:jc w:val="both"/>
        <w:rPr>
          <w:b/>
          <w:color w:val="000000" w:themeColor="text1"/>
          <w:sz w:val="28"/>
          <w:szCs w:val="28"/>
        </w:rPr>
      </w:pPr>
      <w:r w:rsidRPr="00604F36">
        <w:rPr>
          <w:color w:val="000000" w:themeColor="text1"/>
          <w:sz w:val="28"/>
          <w:szCs w:val="28"/>
        </w:rPr>
        <w:t>Thực hiện trong năm 2024.</w:t>
      </w:r>
    </w:p>
    <w:p w:rsidR="008016A9" w:rsidRPr="00604F36" w:rsidRDefault="004253D4">
      <w:pPr>
        <w:spacing w:after="120" w:line="240" w:lineRule="auto"/>
        <w:ind w:firstLine="720"/>
        <w:jc w:val="both"/>
        <w:rPr>
          <w:b/>
          <w:color w:val="000000" w:themeColor="text1"/>
          <w:sz w:val="28"/>
          <w:szCs w:val="28"/>
        </w:rPr>
      </w:pPr>
      <w:r w:rsidRPr="00604F36">
        <w:rPr>
          <w:b/>
          <w:color w:val="000000" w:themeColor="text1"/>
          <w:sz w:val="28"/>
          <w:szCs w:val="28"/>
        </w:rPr>
        <w:t>III. Tổ chức thực hiện</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Kế hoạch được triển khai trong các cuộc họp cơ quan, phòng, chi bộ, trên mạng nội bộ phòng, nội bộ cơ quan, trên Zalo…., đến toàn thể cán bộ, công chức và người lao động trong cơ quan biết và thực hiện.</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xml:space="preserve">Lãnh đạo các Phòng chuyên môn, nghiệp vụ thường xuyên nhắc nhở, động viên </w:t>
      </w:r>
      <w:r w:rsidR="00835EFA">
        <w:rPr>
          <w:color w:val="000000" w:themeColor="text1"/>
          <w:sz w:val="28"/>
          <w:szCs w:val="28"/>
        </w:rPr>
        <w:t>viên</w:t>
      </w:r>
      <w:r w:rsidRPr="00604F36">
        <w:rPr>
          <w:color w:val="000000" w:themeColor="text1"/>
          <w:sz w:val="28"/>
          <w:szCs w:val="28"/>
        </w:rPr>
        <w:t xml:space="preserve"> chức, người lao động thuộc đơn vị phụ trách thực hiện tốt Kế hoạch này, gắn với nhiệm vụ chuyên môn, công việc được giao một cách chất lượng và hiệu quả cao nhất.</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 xml:space="preserve">Phòng Tổ chức cán bộ tổng hợp tham mưu thực hiện công tác đào tạo, bồi dưỡng </w:t>
      </w:r>
      <w:r w:rsidR="00835EFA">
        <w:rPr>
          <w:color w:val="000000" w:themeColor="text1"/>
          <w:sz w:val="28"/>
          <w:szCs w:val="28"/>
        </w:rPr>
        <w:t>cán bộ quản lý, viên</w:t>
      </w:r>
      <w:r w:rsidR="00835EFA" w:rsidRPr="00604F36">
        <w:rPr>
          <w:color w:val="000000" w:themeColor="text1"/>
          <w:sz w:val="28"/>
          <w:szCs w:val="28"/>
        </w:rPr>
        <w:t xml:space="preserve"> chức</w:t>
      </w:r>
      <w:r w:rsidRPr="00604F36">
        <w:rPr>
          <w:color w:val="000000" w:themeColor="text1"/>
          <w:sz w:val="28"/>
          <w:szCs w:val="28"/>
        </w:rPr>
        <w:t>; lập và lưu trữ đầy đủ các loại hồ sơ minh chứng cho việc thực hiện công tác xây dựng ĐVHT, tham mưu Lãnh đạo thực hiện trình tự, hoàn thành Hồ sơ đánh giá quy định (trước ngày 15/01 năm sau).</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Phòng Kế hoạch - Tài chính tham mưu thực hiện chi quyết toán các chế độ hỗ trợ đào tạo, bồi dưỡng theo quy định.</w:t>
      </w:r>
    </w:p>
    <w:p w:rsidR="008016A9" w:rsidRPr="00604F36" w:rsidRDefault="004253D4">
      <w:pPr>
        <w:spacing w:after="120" w:line="240" w:lineRule="auto"/>
        <w:ind w:firstLine="720"/>
        <w:jc w:val="both"/>
        <w:rPr>
          <w:color w:val="000000" w:themeColor="text1"/>
          <w:sz w:val="28"/>
          <w:szCs w:val="28"/>
        </w:rPr>
      </w:pPr>
      <w:r w:rsidRPr="00604F36">
        <w:rPr>
          <w:color w:val="000000" w:themeColor="text1"/>
          <w:sz w:val="28"/>
          <w:szCs w:val="28"/>
        </w:rPr>
        <w:t>Tổ chức chính trị - xã hội trong cơ quan (Ban Chấp hành Công đoàn cơ sở, Chi hội Hội Khuyến học cơ quan) tham mưu phối hợp, đề xuất với Đảng uỷ, Lãnh đạo cơ quan thực hiện kế hoạch, chế độ tham gia các lớp đào tạo, bồi dưỡng, cập nhật kiến thức, kỹ năng cho cán bộ, công chức và người lao động .</w:t>
      </w:r>
    </w:p>
    <w:p w:rsidR="008016A9" w:rsidRDefault="004253D4">
      <w:pPr>
        <w:spacing w:after="120" w:line="240" w:lineRule="auto"/>
        <w:ind w:firstLine="720"/>
        <w:jc w:val="both"/>
        <w:rPr>
          <w:color w:val="000000" w:themeColor="text1"/>
          <w:sz w:val="28"/>
          <w:szCs w:val="28"/>
        </w:rPr>
      </w:pPr>
      <w:r w:rsidRPr="00604F36">
        <w:rPr>
          <w:color w:val="000000" w:themeColor="text1"/>
          <w:sz w:val="28"/>
          <w:szCs w:val="28"/>
        </w:rPr>
        <w:t xml:space="preserve">Trên đây là Kế hoạch xây dựng đơn vị học tập của </w:t>
      </w:r>
      <w:r w:rsidR="00835EFA" w:rsidRPr="00835EFA">
        <w:rPr>
          <w:sz w:val="28"/>
          <w:szCs w:val="28"/>
        </w:rPr>
        <w:t xml:space="preserve">Trường Mầm non Hoa Sen </w:t>
      </w:r>
      <w:r w:rsidRPr="00835EFA">
        <w:rPr>
          <w:sz w:val="28"/>
          <w:szCs w:val="28"/>
        </w:rPr>
        <w:t>trong năm 2024</w:t>
      </w:r>
      <w:r w:rsidRPr="00604F36">
        <w:rPr>
          <w:color w:val="000000" w:themeColor="text1"/>
          <w:sz w:val="28"/>
          <w:szCs w:val="28"/>
        </w:rPr>
        <w:t>.</w:t>
      </w:r>
      <w:r w:rsidR="00A45679">
        <w:rPr>
          <w:color w:val="000000" w:themeColor="text1"/>
          <w:sz w:val="28"/>
          <w:szCs w:val="28"/>
        </w:rPr>
        <w:t>/.</w:t>
      </w:r>
    </w:p>
    <w:p w:rsidR="00A45679" w:rsidRPr="00604F36" w:rsidRDefault="00A45679">
      <w:pPr>
        <w:spacing w:after="120" w:line="240" w:lineRule="auto"/>
        <w:ind w:firstLine="720"/>
        <w:jc w:val="both"/>
        <w:rPr>
          <w:color w:val="000000" w:themeColor="text1"/>
          <w:sz w:val="28"/>
          <w:szCs w:val="28"/>
        </w:rPr>
      </w:pPr>
    </w:p>
    <w:tbl>
      <w:tblPr>
        <w:tblStyle w:val="a0"/>
        <w:tblW w:w="9072" w:type="dxa"/>
        <w:tblInd w:w="108" w:type="dxa"/>
        <w:tblLayout w:type="fixed"/>
        <w:tblLook w:val="0000" w:firstRow="0" w:lastRow="0" w:firstColumn="0" w:lastColumn="0" w:noHBand="0" w:noVBand="0"/>
      </w:tblPr>
      <w:tblGrid>
        <w:gridCol w:w="4161"/>
        <w:gridCol w:w="4911"/>
      </w:tblGrid>
      <w:tr w:rsidR="00604F36" w:rsidRPr="00604F36">
        <w:trPr>
          <w:trHeight w:val="336"/>
        </w:trPr>
        <w:tc>
          <w:tcPr>
            <w:tcW w:w="4161" w:type="dxa"/>
            <w:shd w:val="clear" w:color="auto" w:fill="auto"/>
          </w:tcPr>
          <w:p w:rsidR="008016A9" w:rsidRPr="00604F36" w:rsidRDefault="004253D4">
            <w:pPr>
              <w:spacing w:after="0" w:line="240" w:lineRule="auto"/>
              <w:rPr>
                <w:b/>
                <w:i/>
                <w:color w:val="000000" w:themeColor="text1"/>
              </w:rPr>
            </w:pPr>
            <w:r w:rsidRPr="00604F36">
              <w:rPr>
                <w:b/>
                <w:i/>
                <w:color w:val="000000" w:themeColor="text1"/>
              </w:rPr>
              <w:t>Nơi nhận:</w:t>
            </w:r>
          </w:p>
        </w:tc>
        <w:tc>
          <w:tcPr>
            <w:tcW w:w="4911" w:type="dxa"/>
            <w:shd w:val="clear" w:color="auto" w:fill="auto"/>
          </w:tcPr>
          <w:p w:rsidR="008016A9" w:rsidRPr="00604F36" w:rsidRDefault="00A45679">
            <w:pPr>
              <w:spacing w:after="0" w:line="240" w:lineRule="auto"/>
              <w:jc w:val="center"/>
              <w:rPr>
                <w:b/>
                <w:color w:val="000000" w:themeColor="text1"/>
                <w:sz w:val="28"/>
                <w:szCs w:val="28"/>
              </w:rPr>
            </w:pPr>
            <w:r>
              <w:rPr>
                <w:b/>
                <w:color w:val="000000" w:themeColor="text1"/>
                <w:sz w:val="28"/>
                <w:szCs w:val="28"/>
              </w:rPr>
              <w:t>HIỆU TRƯỞNG</w:t>
            </w:r>
          </w:p>
        </w:tc>
      </w:tr>
      <w:tr w:rsidR="00604F36" w:rsidRPr="00604F36">
        <w:tc>
          <w:tcPr>
            <w:tcW w:w="4161" w:type="dxa"/>
            <w:vMerge w:val="restart"/>
            <w:shd w:val="clear" w:color="auto" w:fill="auto"/>
          </w:tcPr>
          <w:p w:rsidR="008016A9" w:rsidRDefault="004253D4">
            <w:pPr>
              <w:spacing w:after="0" w:line="240" w:lineRule="auto"/>
              <w:rPr>
                <w:color w:val="000000" w:themeColor="text1"/>
                <w:sz w:val="22"/>
                <w:szCs w:val="22"/>
              </w:rPr>
            </w:pPr>
            <w:r w:rsidRPr="00604F36">
              <w:rPr>
                <w:color w:val="000000" w:themeColor="text1"/>
                <w:sz w:val="22"/>
                <w:szCs w:val="22"/>
              </w:rPr>
              <w:t xml:space="preserve">- Đảng ủy </w:t>
            </w:r>
            <w:r w:rsidR="00835EFA">
              <w:rPr>
                <w:color w:val="000000" w:themeColor="text1"/>
                <w:sz w:val="22"/>
                <w:szCs w:val="22"/>
              </w:rPr>
              <w:t>Xã Phú Cường</w:t>
            </w:r>
            <w:r w:rsidRPr="00604F36">
              <w:rPr>
                <w:color w:val="000000" w:themeColor="text1"/>
                <w:sz w:val="22"/>
                <w:szCs w:val="22"/>
              </w:rPr>
              <w:t xml:space="preserve"> (báo cáo);</w:t>
            </w:r>
          </w:p>
          <w:p w:rsidR="00A45679" w:rsidRPr="00604F36" w:rsidRDefault="00A45679">
            <w:pPr>
              <w:spacing w:after="0" w:line="240" w:lineRule="auto"/>
              <w:rPr>
                <w:color w:val="000000" w:themeColor="text1"/>
                <w:sz w:val="22"/>
                <w:szCs w:val="22"/>
              </w:rPr>
            </w:pPr>
            <w:r>
              <w:rPr>
                <w:color w:val="000000" w:themeColor="text1"/>
                <w:sz w:val="22"/>
                <w:szCs w:val="22"/>
              </w:rPr>
              <w:t>- Phòng GD-ĐT (báo cáo)</w:t>
            </w:r>
          </w:p>
          <w:p w:rsidR="008016A9" w:rsidRDefault="004253D4">
            <w:pPr>
              <w:spacing w:after="0" w:line="240" w:lineRule="auto"/>
              <w:rPr>
                <w:color w:val="000000" w:themeColor="text1"/>
                <w:sz w:val="22"/>
                <w:szCs w:val="22"/>
              </w:rPr>
            </w:pPr>
            <w:r w:rsidRPr="00604F36">
              <w:rPr>
                <w:color w:val="000000" w:themeColor="text1"/>
                <w:sz w:val="22"/>
                <w:szCs w:val="22"/>
              </w:rPr>
              <w:t xml:space="preserve">- </w:t>
            </w:r>
            <w:r w:rsidR="00A45679">
              <w:rPr>
                <w:color w:val="000000" w:themeColor="text1"/>
                <w:sz w:val="22"/>
                <w:szCs w:val="22"/>
              </w:rPr>
              <w:t>CBQL (chỉ đạo)</w:t>
            </w:r>
          </w:p>
          <w:p w:rsidR="00A45679" w:rsidRPr="00604F36" w:rsidRDefault="00A45679" w:rsidP="00A45679">
            <w:pPr>
              <w:spacing w:after="0" w:line="240" w:lineRule="auto"/>
              <w:rPr>
                <w:color w:val="000000" w:themeColor="text1"/>
                <w:sz w:val="22"/>
                <w:szCs w:val="22"/>
              </w:rPr>
            </w:pPr>
            <w:r>
              <w:rPr>
                <w:color w:val="000000" w:themeColor="text1"/>
                <w:sz w:val="22"/>
                <w:szCs w:val="22"/>
              </w:rPr>
              <w:t>- BCH Công đoàn (ph/h)</w:t>
            </w:r>
          </w:p>
          <w:p w:rsidR="00A45679" w:rsidRPr="00604F36" w:rsidRDefault="00A45679">
            <w:pPr>
              <w:spacing w:after="0" w:line="240" w:lineRule="auto"/>
              <w:rPr>
                <w:color w:val="000000" w:themeColor="text1"/>
                <w:sz w:val="22"/>
                <w:szCs w:val="22"/>
              </w:rPr>
            </w:pPr>
            <w:r w:rsidRPr="00604F36">
              <w:rPr>
                <w:color w:val="000000" w:themeColor="text1"/>
                <w:sz w:val="22"/>
                <w:szCs w:val="22"/>
              </w:rPr>
              <w:t>- Chi HKH</w:t>
            </w:r>
            <w:r>
              <w:rPr>
                <w:color w:val="000000" w:themeColor="text1"/>
                <w:sz w:val="22"/>
                <w:szCs w:val="22"/>
              </w:rPr>
              <w:t xml:space="preserve"> (ph/h)</w:t>
            </w:r>
            <w:r w:rsidRPr="00604F36">
              <w:rPr>
                <w:color w:val="000000" w:themeColor="text1"/>
                <w:sz w:val="22"/>
                <w:szCs w:val="22"/>
              </w:rPr>
              <w:t>;</w:t>
            </w:r>
          </w:p>
          <w:p w:rsidR="008016A9" w:rsidRPr="00604F36" w:rsidRDefault="00A45679">
            <w:pPr>
              <w:spacing w:after="0" w:line="240" w:lineRule="auto"/>
              <w:rPr>
                <w:b/>
                <w:i/>
                <w:color w:val="000000" w:themeColor="text1"/>
              </w:rPr>
            </w:pPr>
            <w:r>
              <w:rPr>
                <w:color w:val="000000" w:themeColor="text1"/>
                <w:sz w:val="22"/>
                <w:szCs w:val="22"/>
              </w:rPr>
              <w:t>- Lưu: VT, L</w:t>
            </w:r>
            <w:r w:rsidR="004253D4" w:rsidRPr="00604F36">
              <w:rPr>
                <w:color w:val="000000" w:themeColor="text1"/>
                <w:sz w:val="22"/>
                <w:szCs w:val="22"/>
              </w:rPr>
              <w:t>.</w:t>
            </w:r>
          </w:p>
        </w:tc>
        <w:tc>
          <w:tcPr>
            <w:tcW w:w="4911" w:type="dxa"/>
            <w:shd w:val="clear" w:color="auto" w:fill="auto"/>
          </w:tcPr>
          <w:p w:rsidR="008016A9" w:rsidRPr="00604F36" w:rsidRDefault="008016A9">
            <w:pPr>
              <w:spacing w:after="0" w:line="240" w:lineRule="auto"/>
              <w:jc w:val="center"/>
              <w:rPr>
                <w:b/>
                <w:color w:val="000000" w:themeColor="text1"/>
                <w:sz w:val="28"/>
                <w:szCs w:val="28"/>
              </w:rPr>
            </w:pPr>
          </w:p>
        </w:tc>
      </w:tr>
      <w:tr w:rsidR="008016A9" w:rsidRPr="00604F36">
        <w:tc>
          <w:tcPr>
            <w:tcW w:w="4161" w:type="dxa"/>
            <w:vMerge/>
            <w:shd w:val="clear" w:color="auto" w:fill="auto"/>
          </w:tcPr>
          <w:p w:rsidR="008016A9" w:rsidRPr="00604F36" w:rsidRDefault="008016A9">
            <w:pPr>
              <w:widowControl w:val="0"/>
              <w:pBdr>
                <w:top w:val="nil"/>
                <w:left w:val="nil"/>
                <w:bottom w:val="nil"/>
                <w:right w:val="nil"/>
                <w:between w:val="nil"/>
              </w:pBdr>
              <w:spacing w:after="0"/>
              <w:rPr>
                <w:b/>
                <w:color w:val="000000" w:themeColor="text1"/>
                <w:sz w:val="28"/>
                <w:szCs w:val="28"/>
              </w:rPr>
            </w:pPr>
          </w:p>
        </w:tc>
        <w:tc>
          <w:tcPr>
            <w:tcW w:w="4911" w:type="dxa"/>
            <w:shd w:val="clear" w:color="auto" w:fill="auto"/>
          </w:tcPr>
          <w:p w:rsidR="008016A9" w:rsidRPr="00604F36" w:rsidRDefault="008016A9">
            <w:pPr>
              <w:spacing w:after="0" w:line="240" w:lineRule="auto"/>
              <w:jc w:val="center"/>
              <w:rPr>
                <w:b/>
                <w:color w:val="000000" w:themeColor="text1"/>
                <w:sz w:val="28"/>
                <w:szCs w:val="28"/>
              </w:rPr>
            </w:pPr>
          </w:p>
          <w:p w:rsidR="008016A9" w:rsidRPr="00604F36" w:rsidRDefault="008016A9">
            <w:pPr>
              <w:spacing w:after="0" w:line="240" w:lineRule="auto"/>
              <w:jc w:val="center"/>
              <w:rPr>
                <w:b/>
                <w:color w:val="000000" w:themeColor="text1"/>
                <w:sz w:val="28"/>
                <w:szCs w:val="28"/>
              </w:rPr>
            </w:pPr>
          </w:p>
          <w:p w:rsidR="008016A9" w:rsidRPr="00604F36" w:rsidRDefault="008016A9">
            <w:pPr>
              <w:spacing w:after="0" w:line="240" w:lineRule="auto"/>
              <w:jc w:val="center"/>
              <w:rPr>
                <w:b/>
                <w:color w:val="000000" w:themeColor="text1"/>
                <w:sz w:val="28"/>
                <w:szCs w:val="28"/>
              </w:rPr>
            </w:pPr>
          </w:p>
          <w:p w:rsidR="008016A9" w:rsidRPr="00604F36" w:rsidRDefault="008016A9">
            <w:pPr>
              <w:spacing w:after="0" w:line="240" w:lineRule="auto"/>
              <w:ind w:firstLine="1575"/>
              <w:jc w:val="center"/>
              <w:rPr>
                <w:b/>
                <w:color w:val="000000" w:themeColor="text1"/>
                <w:sz w:val="28"/>
                <w:szCs w:val="28"/>
              </w:rPr>
            </w:pPr>
          </w:p>
          <w:p w:rsidR="008016A9" w:rsidRPr="00604F36" w:rsidRDefault="00A45679">
            <w:pPr>
              <w:spacing w:after="0" w:line="240" w:lineRule="auto"/>
              <w:jc w:val="center"/>
              <w:rPr>
                <w:b/>
                <w:color w:val="000000" w:themeColor="text1"/>
                <w:sz w:val="28"/>
                <w:szCs w:val="28"/>
              </w:rPr>
            </w:pPr>
            <w:r>
              <w:rPr>
                <w:b/>
                <w:color w:val="000000" w:themeColor="text1"/>
                <w:sz w:val="28"/>
                <w:szCs w:val="28"/>
              </w:rPr>
              <w:t>Nguyễn Thị Hồng Luyến</w:t>
            </w:r>
          </w:p>
        </w:tc>
      </w:tr>
    </w:tbl>
    <w:p w:rsidR="008016A9" w:rsidRPr="00604F36" w:rsidRDefault="00A45679">
      <w:pPr>
        <w:rPr>
          <w:color w:val="000000" w:themeColor="text1"/>
          <w:sz w:val="28"/>
          <w:szCs w:val="28"/>
        </w:rPr>
      </w:pPr>
      <w:r>
        <w:rPr>
          <w:color w:val="000000" w:themeColor="text1"/>
          <w:sz w:val="28"/>
          <w:szCs w:val="28"/>
        </w:rPr>
        <w:t xml:space="preserve">                     </w:t>
      </w:r>
      <w:bookmarkStart w:id="0" w:name="_GoBack"/>
      <w:bookmarkEnd w:id="0"/>
      <w:r>
        <w:rPr>
          <w:color w:val="000000" w:themeColor="text1"/>
          <w:sz w:val="28"/>
          <w:szCs w:val="28"/>
        </w:rPr>
        <w:t xml:space="preserve">                                                       </w:t>
      </w:r>
    </w:p>
    <w:sectPr w:rsidR="008016A9" w:rsidRPr="00604F36" w:rsidSect="00FF10E5">
      <w:headerReference w:type="default" r:id="rId9"/>
      <w:pgSz w:w="11907" w:h="16840"/>
      <w:pgMar w:top="1134" w:right="1134"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FF" w:rsidRDefault="003967FF">
      <w:pPr>
        <w:spacing w:after="0" w:line="240" w:lineRule="auto"/>
      </w:pPr>
      <w:r>
        <w:separator/>
      </w:r>
    </w:p>
  </w:endnote>
  <w:endnote w:type="continuationSeparator" w:id="0">
    <w:p w:rsidR="003967FF" w:rsidRDefault="0039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FF" w:rsidRDefault="003967FF">
      <w:pPr>
        <w:spacing w:after="0" w:line="240" w:lineRule="auto"/>
      </w:pPr>
      <w:r>
        <w:separator/>
      </w:r>
    </w:p>
  </w:footnote>
  <w:footnote w:type="continuationSeparator" w:id="0">
    <w:p w:rsidR="003967FF" w:rsidRDefault="00396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A9" w:rsidRDefault="004253D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45679">
      <w:rPr>
        <w:noProof/>
        <w:color w:val="000000"/>
      </w:rPr>
      <w:t>3</w:t>
    </w:r>
    <w:r>
      <w:rPr>
        <w:color w:val="000000"/>
      </w:rPr>
      <w:fldChar w:fldCharType="end"/>
    </w:r>
  </w:p>
  <w:p w:rsidR="008016A9" w:rsidRDefault="008016A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A9"/>
    <w:rsid w:val="001808AD"/>
    <w:rsid w:val="002D7814"/>
    <w:rsid w:val="00307404"/>
    <w:rsid w:val="003967FF"/>
    <w:rsid w:val="003A6434"/>
    <w:rsid w:val="003B263A"/>
    <w:rsid w:val="004253D4"/>
    <w:rsid w:val="00547333"/>
    <w:rsid w:val="005B69F7"/>
    <w:rsid w:val="00604F36"/>
    <w:rsid w:val="007931B4"/>
    <w:rsid w:val="008016A9"/>
    <w:rsid w:val="00815FD6"/>
    <w:rsid w:val="00835EFA"/>
    <w:rsid w:val="009C4A75"/>
    <w:rsid w:val="009E7296"/>
    <w:rsid w:val="00A45679"/>
    <w:rsid w:val="00AD7C04"/>
    <w:rsid w:val="00CA55FB"/>
    <w:rsid w:val="00D5677B"/>
    <w:rsid w:val="00E73A23"/>
    <w:rsid w:val="00EF5465"/>
    <w:rsid w:val="00FF10E5"/>
    <w:rsid w:val="00FF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D929"/>
  <w15:docId w15:val="{79994D9E-22E4-46C8-B4A1-0EF3A2A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D7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cp:lastPrinted>2024-11-01T09:47:00Z</cp:lastPrinted>
  <dcterms:created xsi:type="dcterms:W3CDTF">2024-11-27T09:47:00Z</dcterms:created>
  <dcterms:modified xsi:type="dcterms:W3CDTF">2024-12-02T02:37:00Z</dcterms:modified>
</cp:coreProperties>
</file>